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center"/>
        <w:rPr>
          <w:rFonts w:ascii="Courier New" w:cs="Courier New" w:eastAsia="Courier New" w:hAnsi="Courier New"/>
        </w:rPr>
      </w:pPr>
      <w:r w:rsidDel="00000000" w:rsidR="00000000" w:rsidRPr="00000000">
        <w:rPr/>
        <w:drawing>
          <wp:inline distB="0" distT="0" distL="0" distR="0">
            <wp:extent cx="846981" cy="9390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46981" cy="9390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spacing w:after="0" w:line="240" w:lineRule="auto"/>
        <w:jc w:val="center"/>
        <w:rPr>
          <w:rFonts w:ascii="Corsiva" w:cs="Corsiva" w:eastAsia="Corsiva" w:hAnsi="Corsiva"/>
          <w:b w:val="1"/>
          <w:sz w:val="56"/>
          <w:szCs w:val="56"/>
        </w:rPr>
      </w:pPr>
      <w:r w:rsidDel="00000000" w:rsidR="00000000" w:rsidRPr="00000000">
        <w:rPr>
          <w:rFonts w:ascii="Corsiva" w:cs="Corsiva" w:eastAsia="Corsiva" w:hAnsi="Corsiva"/>
          <w:b w:val="1"/>
          <w:sz w:val="56"/>
          <w:szCs w:val="56"/>
          <w:rtl w:val="0"/>
        </w:rPr>
        <w:t xml:space="preserve">Ministero della Giustizia</w:t>
      </w:r>
    </w:p>
    <w:p w:rsidR="00000000" w:rsidDel="00000000" w:rsidP="00000000" w:rsidRDefault="00000000" w:rsidRPr="00000000" w14:paraId="0000000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20"/>
        <w:jc w:val="both"/>
        <w:rPr>
          <w:rFonts w:ascii="Corsiva" w:cs="Corsiva" w:eastAsia="Corsiva" w:hAnsi="Corsiva"/>
          <w:sz w:val="32"/>
          <w:szCs w:val="32"/>
        </w:rPr>
      </w:pPr>
      <w:r w:rsidDel="00000000" w:rsidR="00000000" w:rsidRPr="00000000">
        <w:rPr>
          <w:rtl w:val="0"/>
        </w:rPr>
      </w:r>
    </w:p>
    <w:p w:rsidR="00000000" w:rsidDel="00000000" w:rsidP="00000000" w:rsidRDefault="00000000" w:rsidRPr="00000000" w14:paraId="0000000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20"/>
        <w:jc w:val="both"/>
        <w:rPr>
          <w:rFonts w:ascii="Corsiva" w:cs="Corsiva" w:eastAsia="Corsiva" w:hAnsi="Corsiva"/>
          <w:sz w:val="32"/>
          <w:szCs w:val="32"/>
        </w:rPr>
      </w:pPr>
      <w:r w:rsidDel="00000000" w:rsidR="00000000" w:rsidRPr="00000000">
        <w:rPr>
          <w:rtl w:val="0"/>
        </w:rPr>
      </w:r>
    </w:p>
    <w:p w:rsidR="00000000" w:rsidDel="00000000" w:rsidP="00000000" w:rsidRDefault="00000000" w:rsidRPr="00000000" w14:paraId="0000000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2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Ipotesi di accordo</w:t>
      </w:r>
      <w:r w:rsidDel="00000000" w:rsidR="00000000" w:rsidRPr="00000000">
        <w:rPr>
          <w:rtl w:val="0"/>
        </w:rPr>
      </w:r>
    </w:p>
    <w:p w:rsidR="00000000" w:rsidDel="00000000" w:rsidP="00000000" w:rsidRDefault="00000000" w:rsidRPr="00000000" w14:paraId="0000000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tra il Ministero della Giustizia e le Organizzazioni sindacali </w:t>
      </w:r>
      <w:r w:rsidDel="00000000" w:rsidR="00000000" w:rsidRPr="00000000">
        <w:rPr>
          <w:rFonts w:ascii="Times New Roman" w:cs="Times New Roman" w:eastAsia="Times New Roman" w:hAnsi="Times New Roman"/>
          <w:b w:val="1"/>
          <w:sz w:val="24"/>
          <w:szCs w:val="24"/>
          <w:rtl w:val="0"/>
        </w:rPr>
        <w:t xml:space="preserve">sulle modalità e i criteri di ripartizione del fondo di cui all’art. 113 del d. lgs. 50/2016 e ss. mm. ii. e del D.M. Giustizia 4 agosto 2021, n. 124.</w:t>
      </w:r>
    </w:p>
    <w:p w:rsidR="00000000" w:rsidDel="00000000" w:rsidP="00000000" w:rsidRDefault="00000000" w:rsidRPr="00000000" w14:paraId="0000000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0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fine di dare attuazione all’articolo 113, del decreto legislativo 18 aprile 2016, n.50 (recante “</w:t>
      </w:r>
      <w:r w:rsidDel="00000000" w:rsidR="00000000" w:rsidRPr="00000000">
        <w:rPr>
          <w:rFonts w:ascii="Times New Roman" w:cs="Times New Roman" w:eastAsia="Times New Roman" w:hAnsi="Times New Roman"/>
          <w:i w:val="1"/>
          <w:sz w:val="24"/>
          <w:szCs w:val="24"/>
          <w:rtl w:val="0"/>
        </w:rPr>
        <w:t xml:space="preserve">Codice dei contratti pubblici</w:t>
      </w:r>
      <w:r w:rsidDel="00000000" w:rsidR="00000000" w:rsidRPr="00000000">
        <w:rPr>
          <w:rFonts w:ascii="Times New Roman" w:cs="Times New Roman" w:eastAsia="Times New Roman" w:hAnsi="Times New Roman"/>
          <w:sz w:val="24"/>
          <w:szCs w:val="24"/>
          <w:rtl w:val="0"/>
        </w:rPr>
        <w:t xml:space="preserve">”) e al D.M. 4 agosto 2021, n. 124 (Regolamento recante “</w:t>
      </w:r>
      <w:r w:rsidDel="00000000" w:rsidR="00000000" w:rsidRPr="00000000">
        <w:rPr>
          <w:rFonts w:ascii="Times New Roman" w:cs="Times New Roman" w:eastAsia="Times New Roman" w:hAnsi="Times New Roman"/>
          <w:i w:val="1"/>
          <w:sz w:val="24"/>
          <w:szCs w:val="24"/>
          <w:rtl w:val="0"/>
        </w:rPr>
        <w:t xml:space="preserve">Norme per la ripartizione degli incentivi per funzioni tecniche al personale non dirigente del Ministero della giustizia, a norma del decreto legislativo 18 aprile 2016, n. 50</w:t>
      </w:r>
      <w:r w:rsidDel="00000000" w:rsidR="00000000" w:rsidRPr="00000000">
        <w:rPr>
          <w:rFonts w:ascii="Times New Roman" w:cs="Times New Roman" w:eastAsia="Times New Roman" w:hAnsi="Times New Roman"/>
          <w:sz w:val="24"/>
          <w:szCs w:val="24"/>
          <w:rtl w:val="0"/>
        </w:rPr>
        <w:t xml:space="preserve">”),  le Parti sottoscrivono il presente Accordo, finalizzato alla corresponsione di un incentivo in favore dei dipendenti che svolgono le attività di natura tecnica, specificate nelle disposizioni di legge e regolamentari citate, nell’ambito degli appalti per lavori, servizi, forniture e contratti misti.</w:t>
      </w:r>
    </w:p>
    <w:p w:rsidR="00000000" w:rsidDel="00000000" w:rsidP="00000000" w:rsidRDefault="00000000" w:rsidRPr="00000000" w14:paraId="0000000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L’Accordo definisce le percentuali degli incentivi effettivamente attribuibili al personale, nel rispetto dei valori già determinati nell’articolo 6 del Regolamento.</w:t>
      </w:r>
    </w:p>
    <w:p w:rsidR="00000000" w:rsidDel="00000000" w:rsidP="00000000" w:rsidRDefault="00000000" w:rsidRPr="00000000" w14:paraId="0000000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 1</w:t>
      </w:r>
    </w:p>
    <w:p w:rsidR="00000000" w:rsidDel="00000000" w:rsidP="00000000" w:rsidRDefault="00000000" w:rsidRPr="00000000" w14:paraId="0000000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Ambito di applicazione</w:t>
      </w:r>
    </w:p>
    <w:p w:rsidR="00000000" w:rsidDel="00000000" w:rsidP="00000000" w:rsidRDefault="00000000" w:rsidRPr="00000000" w14:paraId="0000000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Ministero della giustizia, all’interno del quadro economico di ogni appalto riferito a opere, lavori, servizi e forniture, prevede una quota sull’importo posto a base di gara per la costituzione di apposito fondo. </w:t>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valore del fondo viene determinato nella misura indicata all’art. 5, comma 1 del D.M. 4 agosto 2021, n. 124 (d’ora in poi, “Regolamento”) per quanto riguarda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Lavori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ivi comprese le attività di manutenzione ordinaria e straordinaria di cui all’art. 3, comma 2, lett.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all’Allegato 1 del D. Lgs. 50/2016.</w:t>
      </w:r>
    </w:p>
    <w:p w:rsidR="00000000" w:rsidDel="00000000" w:rsidP="00000000" w:rsidRDefault="00000000" w:rsidRPr="00000000" w14:paraId="0000001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valore del fondo viene determinato nella misura indicata all’art. 6 comma 2 del Regolamento per quanto riguarda 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Servizi e Forniture.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Degli importi del fondo di cui ai precedenti commi la quota dell’80% (nel seguito “Fondo incentivante”), è destinata ad incentivare il personale interno che svolge le funzioni tecniche previste dall'art. 113, comma 2, del decreto legislativo n. 50/2016.</w:t>
      </w:r>
    </w:p>
    <w:p w:rsidR="00000000" w:rsidDel="00000000" w:rsidP="00000000" w:rsidRDefault="00000000" w:rsidRPr="00000000" w14:paraId="0000001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risorse del fondo fanno capo al medesimo capitolo di spesa previsto per i singoli lavori, servizi e forniture.</w:t>
      </w:r>
    </w:p>
    <w:p w:rsidR="00000000" w:rsidDel="00000000" w:rsidP="00000000" w:rsidRDefault="00000000" w:rsidRPr="00000000" w14:paraId="0000001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Sono escluse dalla base di calcolo del fondo le somme per accantonamenti, imprevisti, acquisizioni ed espropri di immobili, nonché l’IVA. </w:t>
      </w:r>
    </w:p>
    <w:p w:rsidR="00000000" w:rsidDel="00000000" w:rsidP="00000000" w:rsidRDefault="00000000" w:rsidRPr="00000000" w14:paraId="0000001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Gli importi sono comprensivi anche degli oneri previdenziali e assistenziali a carico dell’Amministrazione. </w:t>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spese di trasferta o missione non sono a carico del fondo.</w:t>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L’80 per cento delle risorse finanziarie del Fondo è ripartito tra il personale del Ministero della giustizia che, per  ciascuna opera  o  lavoro,  servizio  o  fornitura,  è incaricato  e  svolge effettivamente le funzioni tecniche per le attività, anche in  quota parte, di cui all'articolo 113, comma 2, del  decreto  legislativo  e specificamente: </w:t>
      </w:r>
    </w:p>
    <w:p w:rsidR="00000000" w:rsidDel="00000000" w:rsidP="00000000" w:rsidRDefault="00000000" w:rsidRPr="00000000" w14:paraId="0000001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programmazione della spesa per investimenti;  </w:t>
      </w:r>
    </w:p>
    <w:p w:rsidR="00000000" w:rsidDel="00000000" w:rsidP="00000000" w:rsidRDefault="00000000" w:rsidRPr="00000000" w14:paraId="0000001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valutazione preventiva dei progetti; </w:t>
      </w:r>
    </w:p>
    <w:p w:rsidR="00000000" w:rsidDel="00000000" w:rsidP="00000000" w:rsidRDefault="00000000" w:rsidRPr="00000000" w14:paraId="0000001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left="851" w:hanging="142.0000000000000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 predisposizione  e  controllo  delle  procedure  di  gara  e  di esecuzione dei contratti pubblici; </w:t>
      </w:r>
    </w:p>
    <w:p w:rsidR="00000000" w:rsidDel="00000000" w:rsidP="00000000" w:rsidRDefault="00000000" w:rsidRPr="00000000" w14:paraId="0000001B">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 responsabile unico del procedimento;  </w:t>
      </w:r>
    </w:p>
    <w:p w:rsidR="00000000" w:rsidDel="00000000" w:rsidP="00000000" w:rsidRDefault="00000000" w:rsidRPr="00000000" w14:paraId="0000001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 direzione dei lavori; </w:t>
      </w:r>
    </w:p>
    <w:p w:rsidR="00000000" w:rsidDel="00000000" w:rsidP="00000000" w:rsidRDefault="00000000" w:rsidRPr="00000000" w14:paraId="0000001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 direzione dell'esecuzione dei contratti di servizi e forniture; </w:t>
      </w:r>
    </w:p>
    <w:p w:rsidR="00000000" w:rsidDel="00000000" w:rsidP="00000000" w:rsidRDefault="00000000" w:rsidRPr="00000000" w14:paraId="0000001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 collaudo tecnico amministrativo; </w:t>
      </w:r>
    </w:p>
    <w:p w:rsidR="00000000" w:rsidDel="00000000" w:rsidP="00000000" w:rsidRDefault="00000000" w:rsidRPr="00000000" w14:paraId="0000001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 collaudo statico; </w:t>
      </w:r>
    </w:p>
    <w:p w:rsidR="00000000" w:rsidDel="00000000" w:rsidP="00000000" w:rsidRDefault="00000000" w:rsidRPr="00000000" w14:paraId="0000002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verifica di conformità nei contratti di servizi e forniture.</w:t>
      </w:r>
    </w:p>
    <w:p w:rsidR="00000000" w:rsidDel="00000000" w:rsidP="00000000" w:rsidRDefault="00000000" w:rsidRPr="00000000" w14:paraId="00000021">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Il   restante   20   per   cento   del   Fondo   è destinato all'amministrazione secondo quanto disposto dall'articolo 113, comma 4, del decreto legislativo. </w:t>
      </w:r>
    </w:p>
    <w:p w:rsidR="00000000" w:rsidDel="00000000" w:rsidP="00000000" w:rsidRDefault="00000000" w:rsidRPr="00000000" w14:paraId="00000023">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 2</w:t>
      </w:r>
    </w:p>
    <w:p w:rsidR="00000000" w:rsidDel="00000000" w:rsidP="00000000" w:rsidRDefault="00000000" w:rsidRPr="00000000" w14:paraId="0000002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Ripartizione del fondo incentivante per i lavori</w:t>
      </w:r>
    </w:p>
    <w:p w:rsidR="00000000" w:rsidDel="00000000" w:rsidP="00000000" w:rsidRDefault="00000000" w:rsidRPr="00000000" w14:paraId="0000002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incentivi per i lavori di cui all’art. 5, commi 1 e 4 del Regolamento sono ripartiti come segue: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programmazione della spesa per investimenti: 6%</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valutazione preventiva dei progetti: 4%</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predisposizione  e  controllo  delle  procedure  di  gara  e  di esecuzione dei contratti pubblici: 12%</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 responsabile unico del procedimento: 29%</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direzione dei lavori: 29%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 ufficio direzione lavori: 8%</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 collaudo tecnico amministrativo o collaudo statico: 12%.</w:t>
      </w:r>
    </w:p>
    <w:p w:rsidR="00000000" w:rsidDel="00000000" w:rsidP="00000000" w:rsidRDefault="00000000" w:rsidRPr="00000000" w14:paraId="00000030">
      <w:pPr>
        <w:spacing w:after="0" w:lineRule="auto"/>
        <w:jc w:val="both"/>
        <w:rPr>
          <w:sz w:val="24"/>
          <w:szCs w:val="24"/>
        </w:rPr>
      </w:pPr>
      <w:r w:rsidDel="00000000" w:rsidR="00000000" w:rsidRPr="00000000">
        <w:rPr>
          <w:rtl w:val="0"/>
        </w:rPr>
      </w:r>
    </w:p>
    <w:p w:rsidR="00000000" w:rsidDel="00000000" w:rsidP="00000000" w:rsidRDefault="00000000" w:rsidRPr="00000000" w14:paraId="00000031">
      <w:pPr>
        <w:spacing w:after="0" w:lineRule="auto"/>
        <w:jc w:val="center"/>
        <w:rPr>
          <w:b w:val="1"/>
          <w:sz w:val="24"/>
          <w:szCs w:val="24"/>
        </w:rPr>
      </w:pPr>
      <w:r w:rsidDel="00000000" w:rsidR="00000000" w:rsidRPr="00000000">
        <w:rPr>
          <w:b w:val="1"/>
          <w:sz w:val="24"/>
          <w:szCs w:val="24"/>
          <w:rtl w:val="0"/>
        </w:rPr>
        <w:t xml:space="preserve">Art. 3</w:t>
      </w:r>
    </w:p>
    <w:p w:rsidR="00000000" w:rsidDel="00000000" w:rsidP="00000000" w:rsidRDefault="00000000" w:rsidRPr="00000000" w14:paraId="00000032">
      <w:pPr>
        <w:spacing w:after="0" w:lineRule="auto"/>
        <w:jc w:val="center"/>
        <w:rPr>
          <w:b w:val="1"/>
          <w:sz w:val="24"/>
          <w:szCs w:val="24"/>
        </w:rPr>
      </w:pPr>
      <w:r w:rsidDel="00000000" w:rsidR="00000000" w:rsidRPr="00000000">
        <w:rPr>
          <w:b w:val="1"/>
          <w:sz w:val="24"/>
          <w:szCs w:val="24"/>
          <w:rtl w:val="0"/>
        </w:rPr>
        <w:t xml:space="preserve">Ripartizione del fondo incentivante per le forniture e i servizi </w:t>
      </w:r>
    </w:p>
    <w:p w:rsidR="00000000" w:rsidDel="00000000" w:rsidP="00000000" w:rsidRDefault="00000000" w:rsidRPr="00000000" w14:paraId="00000033">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incentivi per le forniture e i servizi, di cui all’art. 6, commi 1 e 4 del Decreto Ministeriale 4 agosto 2021, n. 124, sono ripartiti come segue: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programmazione della spesa per investimenti: 6%</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valutazione preventiva dei progetti: 4%</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predisposizione  e  controllo  delle  procedure  di  gara  e  di esecuzione dei contratti pubblici: 12%</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responsabile unico del procedimento: 35%</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direzione dell'esecuzione dei contratti di servizi e forniture: 24%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verifica di conformità nei contratti di servizi e forniture: 18%.</w:t>
      </w:r>
    </w:p>
    <w:p w:rsidR="00000000" w:rsidDel="00000000" w:rsidP="00000000" w:rsidRDefault="00000000" w:rsidRPr="00000000" w14:paraId="0000003B">
      <w:pPr>
        <w:spacing w:after="0" w:lineRule="auto"/>
        <w:rPr>
          <w:b w:val="1"/>
          <w:sz w:val="24"/>
          <w:szCs w:val="24"/>
        </w:rPr>
      </w:pPr>
      <w:r w:rsidDel="00000000" w:rsidR="00000000" w:rsidRPr="00000000">
        <w:rPr>
          <w:rtl w:val="0"/>
        </w:rPr>
      </w:r>
    </w:p>
    <w:p w:rsidR="00000000" w:rsidDel="00000000" w:rsidP="00000000" w:rsidRDefault="00000000" w:rsidRPr="00000000" w14:paraId="0000003C">
      <w:pPr>
        <w:spacing w:after="0" w:lineRule="auto"/>
        <w:jc w:val="center"/>
        <w:rPr>
          <w:b w:val="1"/>
          <w:sz w:val="24"/>
          <w:szCs w:val="24"/>
        </w:rPr>
      </w:pPr>
      <w:r w:rsidDel="00000000" w:rsidR="00000000" w:rsidRPr="00000000">
        <w:rPr>
          <w:b w:val="1"/>
          <w:sz w:val="24"/>
          <w:szCs w:val="24"/>
          <w:rtl w:val="0"/>
        </w:rPr>
        <w:t xml:space="preserve">Art. 4</w:t>
      </w:r>
    </w:p>
    <w:p w:rsidR="00000000" w:rsidDel="00000000" w:rsidP="00000000" w:rsidRDefault="00000000" w:rsidRPr="00000000" w14:paraId="0000003D">
      <w:pPr>
        <w:spacing w:after="0" w:lineRule="auto"/>
        <w:jc w:val="center"/>
        <w:rPr>
          <w:b w:val="1"/>
          <w:sz w:val="24"/>
          <w:szCs w:val="24"/>
        </w:rPr>
      </w:pPr>
      <w:r w:rsidDel="00000000" w:rsidR="00000000" w:rsidRPr="00000000">
        <w:rPr>
          <w:b w:val="1"/>
          <w:sz w:val="24"/>
          <w:szCs w:val="24"/>
          <w:rtl w:val="0"/>
        </w:rPr>
        <w:t xml:space="preserve">Programmazione della spesa per investimenti</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57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L’incentivo di cui all’art. 4, comma 1, lett. a) del Regolamento è riconosciuto per le attività di programmazione degli investimenti, previsti dal comma 1, e che sono inseriti:</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nel programma di acquisto di beni e servizi di importo unitario stimato pari o superiore a 40.000 euro, nonché nei relativi aggiornamenti annuali, previsto dall’art. 21, comma 6, primo periodo, del decreto legislativo 18 aprile 2016, nr. 50;</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oppure nel programma triennale dei lavori di importo stimato pari o superiore a 100.000 euro, nonché nei  relativi aggiornamenti annuali, previsto dall’art. 21, comma 3, del decreto legislativo 18 aprile 2016, nr. 50.</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57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Gli incentivi sono corrisposti al personale coinvolto nelle attività di programmazione e raccolta dei fabbisogni, sia a livello territoriale che a livello centrale.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44">
      <w:pPr>
        <w:shd w:fill="ffffff" w:val="clear"/>
        <w:spacing w:after="0" w:lineRule="auto"/>
        <w:jc w:val="center"/>
        <w:rPr>
          <w:b w:val="1"/>
          <w:sz w:val="24"/>
          <w:szCs w:val="24"/>
        </w:rPr>
      </w:pPr>
      <w:r w:rsidDel="00000000" w:rsidR="00000000" w:rsidRPr="00000000">
        <w:rPr>
          <w:b w:val="1"/>
          <w:sz w:val="24"/>
          <w:szCs w:val="24"/>
          <w:rtl w:val="0"/>
        </w:rPr>
        <w:t xml:space="preserve">Art. 5</w:t>
      </w:r>
    </w:p>
    <w:p w:rsidR="00000000" w:rsidDel="00000000" w:rsidP="00000000" w:rsidRDefault="00000000" w:rsidRPr="00000000" w14:paraId="00000045">
      <w:pPr>
        <w:shd w:fill="ffffff" w:val="clear"/>
        <w:spacing w:after="0" w:lineRule="auto"/>
        <w:jc w:val="center"/>
        <w:rPr>
          <w:b w:val="1"/>
          <w:sz w:val="24"/>
          <w:szCs w:val="24"/>
        </w:rPr>
      </w:pPr>
      <w:r w:rsidDel="00000000" w:rsidR="00000000" w:rsidRPr="00000000">
        <w:rPr>
          <w:b w:val="1"/>
          <w:sz w:val="24"/>
          <w:szCs w:val="24"/>
          <w:rtl w:val="0"/>
        </w:rPr>
        <w:t xml:space="preserve">Procedure escluse dagli incentivi</w:t>
      </w:r>
    </w:p>
    <w:p w:rsidR="00000000" w:rsidDel="00000000" w:rsidP="00000000" w:rsidRDefault="00000000" w:rsidRPr="00000000" w14:paraId="00000046">
      <w:pPr>
        <w:shd w:fill="ffffff" w:val="clear"/>
        <w:spacing w:after="0" w:lineRule="auto"/>
        <w:jc w:val="center"/>
        <w:rPr>
          <w:b w:val="1"/>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57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escluse dagli incentivi le attività compiute in relazione alle seguenti tipologie di procedure di affidamento:</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locazioni</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concessioni di servizi;</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affidamento diretto di cui all’art. 36, comma 2, lettera a), effettuato senza previa consultazione di due o più operatori economici;</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somma urgenza;</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appalti di forniture e servizi per i quali non è stato nominato il DEC;</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10.99999999999994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locazione finanziaria di opere pubbliche o di pubblica utilità.</w:t>
      </w:r>
    </w:p>
    <w:p w:rsidR="00000000" w:rsidDel="00000000" w:rsidP="00000000" w:rsidRDefault="00000000" w:rsidRPr="00000000" w14:paraId="0000004E">
      <w:pPr>
        <w:spacing w:after="0" w:line="240" w:lineRule="auto"/>
        <w:ind w:hanging="11"/>
        <w:jc w:val="both"/>
        <w:rPr>
          <w:sz w:val="24"/>
          <w:szCs w:val="24"/>
        </w:rPr>
      </w:pPr>
      <w:r w:rsidDel="00000000" w:rsidR="00000000" w:rsidRPr="00000000">
        <w:rPr>
          <w:rtl w:val="0"/>
        </w:rPr>
      </w:r>
    </w:p>
    <w:p w:rsidR="00000000" w:rsidDel="00000000" w:rsidP="00000000" w:rsidRDefault="00000000" w:rsidRPr="00000000" w14:paraId="0000004F">
      <w:pPr>
        <w:spacing w:after="0" w:lineRule="auto"/>
        <w:jc w:val="both"/>
        <w:rPr>
          <w:sz w:val="24"/>
          <w:szCs w:val="24"/>
        </w:rPr>
      </w:pPr>
      <w:r w:rsidDel="00000000" w:rsidR="00000000" w:rsidRPr="00000000">
        <w:rPr>
          <w:rtl w:val="0"/>
        </w:rPr>
      </w:r>
    </w:p>
    <w:p w:rsidR="00000000" w:rsidDel="00000000" w:rsidP="00000000" w:rsidRDefault="00000000" w:rsidRPr="00000000" w14:paraId="00000050">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51">
      <w:pPr>
        <w:spacing w:after="0" w:line="240" w:lineRule="auto"/>
        <w:jc w:val="center"/>
        <w:rPr>
          <w:b w:val="1"/>
          <w:sz w:val="24"/>
          <w:szCs w:val="24"/>
        </w:rPr>
      </w:pPr>
      <w:r w:rsidDel="00000000" w:rsidR="00000000" w:rsidRPr="00000000">
        <w:rPr>
          <w:b w:val="1"/>
          <w:sz w:val="24"/>
          <w:szCs w:val="24"/>
          <w:rtl w:val="0"/>
        </w:rPr>
        <w:t xml:space="preserve">Art. 6</w:t>
      </w:r>
    </w:p>
    <w:p w:rsidR="00000000" w:rsidDel="00000000" w:rsidP="00000000" w:rsidRDefault="00000000" w:rsidRPr="00000000" w14:paraId="00000052">
      <w:pPr>
        <w:spacing w:after="0" w:line="240" w:lineRule="auto"/>
        <w:jc w:val="center"/>
        <w:rPr>
          <w:b w:val="1"/>
          <w:sz w:val="24"/>
          <w:szCs w:val="24"/>
        </w:rPr>
      </w:pPr>
      <w:r w:rsidDel="00000000" w:rsidR="00000000" w:rsidRPr="00000000">
        <w:rPr>
          <w:b w:val="1"/>
          <w:sz w:val="24"/>
          <w:szCs w:val="24"/>
          <w:rtl w:val="0"/>
        </w:rPr>
        <w:t xml:space="preserve"> Ripartizione della percentuale prevista dal regolamento per ciascuna tipologia di attività, quando essa è compiuta non da una singola persona, ma da due o più addetti</w:t>
      </w:r>
    </w:p>
    <w:p w:rsidR="00000000" w:rsidDel="00000000" w:rsidP="00000000" w:rsidRDefault="00000000" w:rsidRPr="00000000" w14:paraId="00000053">
      <w:pPr>
        <w:spacing w:after="0" w:lineRule="auto"/>
        <w:jc w:val="both"/>
        <w:rPr>
          <w:sz w:val="24"/>
          <w:szCs w:val="24"/>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l’attività è svolta da più soggetti, la quota di incentivo prevista per ciascuna attività è ripartita sulla base del livello di responsabilità professionale connessa alla specifica attività da svolgersi e all’apporto richiesto ai singoli.</w:t>
      </w:r>
    </w:p>
    <w:p w:rsidR="00000000" w:rsidDel="00000000" w:rsidP="00000000" w:rsidRDefault="00000000" w:rsidRPr="00000000" w14:paraId="00000055">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b w:val="1"/>
          <w:sz w:val="24"/>
          <w:szCs w:val="24"/>
        </w:rPr>
      </w:pPr>
      <w:r w:rsidDel="00000000" w:rsidR="00000000" w:rsidRPr="00000000">
        <w:rPr>
          <w:b w:val="1"/>
          <w:sz w:val="24"/>
          <w:szCs w:val="24"/>
          <w:rtl w:val="0"/>
        </w:rPr>
        <w:t xml:space="preserve">Art. 7</w:t>
      </w:r>
    </w:p>
    <w:p w:rsidR="00000000" w:rsidDel="00000000" w:rsidP="00000000" w:rsidRDefault="00000000" w:rsidRPr="00000000" w14:paraId="0000005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b w:val="1"/>
          <w:sz w:val="24"/>
          <w:szCs w:val="24"/>
        </w:rPr>
      </w:pPr>
      <w:r w:rsidDel="00000000" w:rsidR="00000000" w:rsidRPr="00000000">
        <w:rPr>
          <w:b w:val="1"/>
          <w:sz w:val="24"/>
          <w:szCs w:val="24"/>
          <w:rtl w:val="0"/>
        </w:rPr>
        <w:t xml:space="preserve">Incentivo per l’attività di verifica preventiva del progetto</w:t>
      </w:r>
    </w:p>
    <w:p w:rsidR="00000000" w:rsidDel="00000000" w:rsidP="00000000" w:rsidRDefault="00000000" w:rsidRPr="00000000" w14:paraId="0000005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b w:val="1"/>
          <w:sz w:val="24"/>
          <w:szCs w:val="24"/>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Quando la verifica preventiva è di competenza del RUP e richiede l’ausilio del parere tecnico della struttura di supporto istituita ai sensi dell’art. 31 d. lgs. 50/2016, la quota di incentivo è suddivisa in parti uguali.</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Art. 8</w:t>
      </w:r>
    </w:p>
    <w:p w:rsidR="00000000" w:rsidDel="00000000" w:rsidP="00000000" w:rsidRDefault="00000000" w:rsidRPr="00000000" w14:paraId="0000005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Ricalcolo del fondo in caso di varianti in corso d’opera in aumento</w:t>
      </w:r>
    </w:p>
    <w:p w:rsidR="00000000" w:rsidDel="00000000" w:rsidP="00000000" w:rsidRDefault="00000000" w:rsidRPr="00000000" w14:paraId="0000005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 in caso di interventi complementari o di aumento di quinto</w:t>
      </w:r>
    </w:p>
    <w:p w:rsidR="00000000" w:rsidDel="00000000" w:rsidP="00000000" w:rsidRDefault="00000000" w:rsidRPr="00000000" w14:paraId="0000005F">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Come previsto dall’art. 1, comma 3, secondo periodo, del Regolamento, in caso di varianti in corso d’opera in aumento o in caso di interventi complementari o di aumento di quinto,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l’incentivo è determinato in riferimento al nuovo importo lordo del contratto di appalto.</w:t>
      </w:r>
    </w:p>
    <w:p w:rsidR="00000000" w:rsidDel="00000000" w:rsidP="00000000" w:rsidRDefault="00000000" w:rsidRPr="00000000" w14:paraId="00000061">
      <w:pPr>
        <w:spacing w:after="0" w:lineRule="auto"/>
        <w:jc w:val="center"/>
        <w:rPr>
          <w:b w:val="1"/>
          <w:sz w:val="24"/>
          <w:szCs w:val="24"/>
        </w:rPr>
      </w:pPr>
      <w:r w:rsidDel="00000000" w:rsidR="00000000" w:rsidRPr="00000000">
        <w:rPr>
          <w:b w:val="1"/>
          <w:sz w:val="24"/>
          <w:szCs w:val="24"/>
          <w:rtl w:val="0"/>
        </w:rPr>
        <w:t xml:space="preserve">Art. 9</w:t>
      </w:r>
    </w:p>
    <w:p w:rsidR="00000000" w:rsidDel="00000000" w:rsidP="00000000" w:rsidRDefault="00000000" w:rsidRPr="00000000" w14:paraId="00000062">
      <w:pPr>
        <w:spacing w:after="0" w:line="240" w:lineRule="auto"/>
        <w:jc w:val="center"/>
        <w:rPr>
          <w:sz w:val="24"/>
          <w:szCs w:val="24"/>
        </w:rPr>
      </w:pPr>
      <w:r w:rsidDel="00000000" w:rsidR="00000000" w:rsidRPr="00000000">
        <w:rPr>
          <w:b w:val="1"/>
          <w:sz w:val="24"/>
          <w:szCs w:val="24"/>
          <w:rtl w:val="0"/>
        </w:rPr>
        <w:t xml:space="preserve">Riduzione dell’incentivo per il caso di incremento dei tempi o dei costi previsti</w:t>
      </w:r>
      <w:r w:rsidDel="00000000" w:rsidR="00000000" w:rsidRPr="00000000">
        <w:rPr>
          <w:rtl w:val="0"/>
        </w:rPr>
      </w:r>
    </w:p>
    <w:p w:rsidR="00000000" w:rsidDel="00000000" w:rsidP="00000000" w:rsidRDefault="00000000" w:rsidRPr="00000000" w14:paraId="00000063">
      <w:pPr>
        <w:spacing w:after="0" w:lineRule="auto"/>
        <w:jc w:val="both"/>
        <w:rPr>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incremento dei costi determinati da condotte imputabili ai destinatari dell’incentivo,  la riduzione viene calcolata in misura pari alla percentuale di  aumento dei costi rispetto all'importo originario di aggiudicazione. </w:t>
      </w:r>
    </w:p>
    <w:p w:rsidR="00000000" w:rsidDel="00000000" w:rsidP="00000000" w:rsidRDefault="00000000" w:rsidRPr="00000000" w14:paraId="0000006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incremento dei tempi determinati da condotte imputabili ai destinatari dell’incentivo ,  la riduzione  viene  calcolata  in  misura  pari  alla  percentuale   di incremento dei tempi. Nell'incremento dei tempi non sono considerate le sospensioni di cui all'articolo  107  del D. Lgs. 50/2016 nonché i ritardi imputabili esclusivamente all'impresa appaltatrice</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jc w:val="both"/>
        <w:rPr>
          <w:sz w:val="24"/>
          <w:szCs w:val="24"/>
        </w:rPr>
      </w:pPr>
      <w:r w:rsidDel="00000000" w:rsidR="00000000" w:rsidRPr="00000000">
        <w:rPr>
          <w:rtl w:val="0"/>
        </w:rPr>
      </w:r>
    </w:p>
    <w:p w:rsidR="00000000" w:rsidDel="00000000" w:rsidP="00000000" w:rsidRDefault="00000000" w:rsidRPr="00000000" w14:paraId="00000067">
      <w:pPr>
        <w:spacing w:after="0" w:lineRule="auto"/>
        <w:jc w:val="center"/>
        <w:rPr>
          <w:b w:val="1"/>
          <w:sz w:val="24"/>
          <w:szCs w:val="24"/>
        </w:rPr>
      </w:pPr>
      <w:r w:rsidDel="00000000" w:rsidR="00000000" w:rsidRPr="00000000">
        <w:rPr>
          <w:b w:val="1"/>
          <w:sz w:val="24"/>
          <w:szCs w:val="24"/>
          <w:rtl w:val="0"/>
        </w:rPr>
        <w:t xml:space="preserve">Art. 10</w:t>
      </w:r>
    </w:p>
    <w:p w:rsidR="00000000" w:rsidDel="00000000" w:rsidP="00000000" w:rsidRDefault="00000000" w:rsidRPr="00000000" w14:paraId="00000068">
      <w:pPr>
        <w:spacing w:after="0" w:lineRule="auto"/>
        <w:jc w:val="center"/>
        <w:rPr>
          <w:b w:val="1"/>
          <w:sz w:val="24"/>
          <w:szCs w:val="24"/>
        </w:rPr>
      </w:pPr>
      <w:r w:rsidDel="00000000" w:rsidR="00000000" w:rsidRPr="00000000">
        <w:rPr>
          <w:b w:val="1"/>
          <w:sz w:val="24"/>
          <w:szCs w:val="24"/>
          <w:rtl w:val="0"/>
        </w:rPr>
        <w:t xml:space="preserve">Procedure interrotte</w:t>
      </w:r>
    </w:p>
    <w:p w:rsidR="00000000" w:rsidDel="00000000" w:rsidP="00000000" w:rsidRDefault="00000000" w:rsidRPr="00000000" w14:paraId="00000069">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Qualora la procedura di affidamento si arresti, successivamente alla fase di scelta del contraente, per cause non imputabili ai dipendenti ai quali è prevista l’erogazione di incentivi, il compenso incentivante verrà corrisposto proporzionalmente alle attività effettivamente espletate ed attestate dal direttore preposto alla struttura competente, su proposta del Responsabile del procedimento. </w:t>
      </w:r>
    </w:p>
    <w:p w:rsidR="00000000" w:rsidDel="00000000" w:rsidP="00000000" w:rsidRDefault="00000000" w:rsidRPr="00000000" w14:paraId="0000006B">
      <w:pPr>
        <w:spacing w:after="0" w:lineRule="auto"/>
        <w:jc w:val="both"/>
        <w:rPr>
          <w:sz w:val="24"/>
          <w:szCs w:val="24"/>
        </w:rPr>
      </w:pPr>
      <w:r w:rsidDel="00000000" w:rsidR="00000000" w:rsidRPr="00000000">
        <w:rPr>
          <w:rtl w:val="0"/>
        </w:rPr>
      </w:r>
    </w:p>
    <w:p w:rsidR="00000000" w:rsidDel="00000000" w:rsidP="00000000" w:rsidRDefault="00000000" w:rsidRPr="00000000" w14:paraId="0000006C">
      <w:pPr>
        <w:spacing w:after="0" w:lineRule="auto"/>
        <w:jc w:val="center"/>
        <w:rPr>
          <w:b w:val="1"/>
          <w:sz w:val="24"/>
          <w:szCs w:val="24"/>
        </w:rPr>
      </w:pPr>
      <w:r w:rsidDel="00000000" w:rsidR="00000000" w:rsidRPr="00000000">
        <w:rPr>
          <w:b w:val="1"/>
          <w:sz w:val="24"/>
          <w:szCs w:val="24"/>
          <w:rtl w:val="0"/>
        </w:rPr>
        <w:t xml:space="preserve">Art. 11</w:t>
      </w:r>
    </w:p>
    <w:p w:rsidR="00000000" w:rsidDel="00000000" w:rsidP="00000000" w:rsidRDefault="00000000" w:rsidRPr="00000000" w14:paraId="0000006D">
      <w:pPr>
        <w:spacing w:after="0" w:lineRule="auto"/>
        <w:jc w:val="center"/>
        <w:rPr>
          <w:b w:val="1"/>
          <w:sz w:val="24"/>
          <w:szCs w:val="24"/>
        </w:rPr>
      </w:pPr>
      <w:r w:rsidDel="00000000" w:rsidR="00000000" w:rsidRPr="00000000">
        <w:rPr>
          <w:b w:val="1"/>
          <w:sz w:val="24"/>
          <w:szCs w:val="24"/>
          <w:rtl w:val="0"/>
        </w:rPr>
        <w:t xml:space="preserve">Certificato di regolare esecuzione</w:t>
      </w:r>
    </w:p>
    <w:p w:rsidR="00000000" w:rsidDel="00000000" w:rsidP="00000000" w:rsidRDefault="00000000" w:rsidRPr="00000000" w14:paraId="0000006E">
      <w:pPr>
        <w:spacing w:after="0" w:lineRule="auto"/>
        <w:jc w:val="both"/>
        <w:rPr>
          <w:sz w:val="24"/>
          <w:szCs w:val="24"/>
        </w:rPr>
      </w:pPr>
      <w:r w:rsidDel="00000000" w:rsidR="00000000" w:rsidRPr="00000000">
        <w:rPr>
          <w:sz w:val="24"/>
          <w:szCs w:val="24"/>
          <w:rtl w:val="0"/>
        </w:rPr>
        <w:t xml:space="preserve">All’attività necessaria per emettere il certificato di regolare esecuzione non è riconosciuto l’incentivo previsto per il collaudo, perché l’art. 113 d. lgs. 50/2016 prevede che l’incentivo può essere corrisposto “</w:t>
      </w:r>
      <w:r w:rsidDel="00000000" w:rsidR="00000000" w:rsidRPr="00000000">
        <w:rPr>
          <w:i w:val="1"/>
          <w:sz w:val="24"/>
          <w:szCs w:val="24"/>
          <w:rtl w:val="0"/>
        </w:rPr>
        <w:t xml:space="preserve">esclusivamente</w:t>
      </w:r>
      <w:r w:rsidDel="00000000" w:rsidR="00000000" w:rsidRPr="00000000">
        <w:rPr>
          <w:sz w:val="24"/>
          <w:szCs w:val="24"/>
          <w:rtl w:val="0"/>
        </w:rPr>
        <w:t xml:space="preserve">” per l’attività di collaudo tecnico amministrativo o statico ovvero per l’attività di verifica di conformità.</w:t>
      </w:r>
    </w:p>
    <w:p w:rsidR="00000000" w:rsidDel="00000000" w:rsidP="00000000" w:rsidRDefault="00000000" w:rsidRPr="00000000" w14:paraId="0000006F">
      <w:pPr>
        <w:spacing w:after="0" w:lineRule="auto"/>
        <w:jc w:val="both"/>
        <w:rPr>
          <w:sz w:val="24"/>
          <w:szCs w:val="24"/>
        </w:rPr>
      </w:pPr>
      <w:r w:rsidDel="00000000" w:rsidR="00000000" w:rsidRPr="00000000">
        <w:rPr>
          <w:rtl w:val="0"/>
        </w:rPr>
      </w:r>
    </w:p>
    <w:p w:rsidR="00000000" w:rsidDel="00000000" w:rsidP="00000000" w:rsidRDefault="00000000" w:rsidRPr="00000000" w14:paraId="00000070">
      <w:pPr>
        <w:spacing w:after="0" w:lineRule="auto"/>
        <w:jc w:val="center"/>
        <w:rPr>
          <w:b w:val="1"/>
          <w:sz w:val="24"/>
          <w:szCs w:val="24"/>
        </w:rPr>
      </w:pPr>
      <w:r w:rsidDel="00000000" w:rsidR="00000000" w:rsidRPr="00000000">
        <w:rPr>
          <w:b w:val="1"/>
          <w:sz w:val="24"/>
          <w:szCs w:val="24"/>
          <w:rtl w:val="0"/>
        </w:rPr>
        <w:t xml:space="preserve">Art. 11</w:t>
      </w:r>
    </w:p>
    <w:p w:rsidR="00000000" w:rsidDel="00000000" w:rsidP="00000000" w:rsidRDefault="00000000" w:rsidRPr="00000000" w14:paraId="00000071">
      <w:pPr>
        <w:spacing w:after="0" w:lineRule="auto"/>
        <w:jc w:val="center"/>
        <w:rPr>
          <w:b w:val="1"/>
          <w:sz w:val="24"/>
          <w:szCs w:val="24"/>
        </w:rPr>
      </w:pPr>
      <w:r w:rsidDel="00000000" w:rsidR="00000000" w:rsidRPr="00000000">
        <w:rPr>
          <w:b w:val="1"/>
          <w:sz w:val="24"/>
          <w:szCs w:val="24"/>
          <w:rtl w:val="0"/>
        </w:rPr>
        <w:t xml:space="preserve">Criteri di erogazione dell’incentivo </w:t>
      </w:r>
    </w:p>
    <w:p w:rsidR="00000000" w:rsidDel="00000000" w:rsidP="00000000" w:rsidRDefault="00000000" w:rsidRPr="00000000" w14:paraId="00000072">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 diritto al compenso incentivante è riconosciuto: </w:t>
      </w:r>
    </w:p>
    <w:p w:rsidR="00000000" w:rsidDel="00000000" w:rsidP="00000000" w:rsidRDefault="00000000" w:rsidRPr="00000000" w14:paraId="0000007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le attivita' di programmazione della spesa per investimenti, valutazione preventiva dei progetti  e  predisposizione  e  controllo delle procedure di gara: alla data di perfezionamento del contratto; </w:t>
      </w:r>
    </w:p>
    <w:p w:rsidR="00000000" w:rsidDel="00000000" w:rsidP="00000000" w:rsidRDefault="00000000" w:rsidRPr="00000000" w14:paraId="0000007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le  attivita'  di  direzione  dei  lavori  e  di  direzione dell'esecuzione, di collaudo e verifica di conformita': alla data  di emissione del certificato di pagamento di  cui  all'articolo  113-</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bis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 decreto legislativo; </w:t>
      </w:r>
    </w:p>
    <w:p w:rsidR="00000000" w:rsidDel="00000000" w:rsidP="00000000" w:rsidRDefault="00000000" w:rsidRPr="00000000" w14:paraId="000000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 le attività di responsabile del  procedimento  e  dei  suoi collaboratori: il 20 per cento alla data di cui alla lettera a) e  il restante 80 per cento alla data di cui alla lettera b).</w:t>
      </w:r>
      <w:r w:rsidDel="00000000" w:rsidR="00000000" w:rsidRPr="00000000">
        <w:rPr>
          <w:rFonts w:ascii="Courier New" w:cs="Courier New" w:eastAsia="Courier New" w:hAnsi="Courier New"/>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color w:val="000000"/>
          <w:sz w:val="23"/>
          <w:szCs w:val="23"/>
        </w:rPr>
      </w:pPr>
      <w:r w:rsidDel="00000000" w:rsidR="00000000" w:rsidRPr="00000000">
        <w:rPr>
          <w:rtl w:val="0"/>
        </w:rPr>
      </w:r>
    </w:p>
    <w:p w:rsidR="00000000" w:rsidDel="00000000" w:rsidP="00000000" w:rsidRDefault="00000000" w:rsidRPr="00000000" w14:paraId="00000078">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79">
      <w:pPr>
        <w:spacing w:after="0" w:lineRule="auto"/>
        <w:jc w:val="center"/>
        <w:rPr>
          <w:b w:val="1"/>
          <w:sz w:val="24"/>
          <w:szCs w:val="24"/>
        </w:rPr>
      </w:pPr>
      <w:r w:rsidDel="00000000" w:rsidR="00000000" w:rsidRPr="00000000">
        <w:rPr>
          <w:b w:val="1"/>
          <w:sz w:val="24"/>
          <w:szCs w:val="24"/>
          <w:rtl w:val="0"/>
        </w:rPr>
        <w:t xml:space="preserve">Art. 12</w:t>
      </w:r>
    </w:p>
    <w:p w:rsidR="00000000" w:rsidDel="00000000" w:rsidP="00000000" w:rsidRDefault="00000000" w:rsidRPr="00000000" w14:paraId="0000007A">
      <w:pPr>
        <w:spacing w:after="0" w:line="240" w:lineRule="auto"/>
        <w:jc w:val="center"/>
        <w:rPr>
          <w:b w:val="1"/>
          <w:sz w:val="24"/>
          <w:szCs w:val="24"/>
        </w:rPr>
      </w:pPr>
      <w:r w:rsidDel="00000000" w:rsidR="00000000" w:rsidRPr="00000000">
        <w:rPr>
          <w:b w:val="1"/>
          <w:sz w:val="24"/>
          <w:szCs w:val="24"/>
          <w:rtl w:val="0"/>
        </w:rPr>
        <w:t xml:space="preserve">Percentuale di incentivo eccedente la quota spettante annualmente al singolo dipendente</w:t>
      </w:r>
    </w:p>
    <w:p w:rsidR="00000000" w:rsidDel="00000000" w:rsidP="00000000" w:rsidRDefault="00000000" w:rsidRPr="00000000" w14:paraId="0000007B">
      <w:pPr>
        <w:spacing w:after="0" w:line="240" w:lineRule="auto"/>
        <w:jc w:val="center"/>
        <w:rPr>
          <w:b w:val="1"/>
          <w:sz w:val="24"/>
          <w:szCs w:val="24"/>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L’eventuale eccedenza degli incentivi rispetto al limite del 50% del trattamento economico lordo annuo del dipendente non è redistribuibile al personale destinatario dell’incentivo né può essere corrisposto negli anni successivi quello di esecuzione dell’incarico laddove l’appalto di lavori, servizi o forniture sia stato svolto in un singolo esercizio finanziario.</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fine di verificare il rispetto del tetto del 50% di cui al comma 1, si deve tenere conto dello stipendio percepito dal dipendente nell’anno in cui è emesso il certificato di pagamento, anche se l’incentivo è corrisposto al dipendente l’anno successivo.</w:t>
      </w:r>
    </w:p>
    <w:p w:rsidR="00000000" w:rsidDel="00000000" w:rsidP="00000000" w:rsidRDefault="00000000" w:rsidRPr="00000000" w14:paraId="0000007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7F">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0">
      <w:pPr>
        <w:spacing w:after="0" w:lineRule="auto"/>
        <w:jc w:val="center"/>
        <w:rPr>
          <w:b w:val="1"/>
          <w:sz w:val="24"/>
          <w:szCs w:val="24"/>
        </w:rPr>
      </w:pPr>
      <w:r w:rsidDel="00000000" w:rsidR="00000000" w:rsidRPr="00000000">
        <w:rPr>
          <w:b w:val="1"/>
          <w:sz w:val="24"/>
          <w:szCs w:val="24"/>
          <w:rtl w:val="0"/>
        </w:rPr>
        <w:t xml:space="preserve">Art. 13</w:t>
      </w:r>
    </w:p>
    <w:p w:rsidR="00000000" w:rsidDel="00000000" w:rsidP="00000000" w:rsidRDefault="00000000" w:rsidRPr="00000000" w14:paraId="00000081">
      <w:pPr>
        <w:spacing w:after="0" w:lineRule="auto"/>
        <w:jc w:val="center"/>
        <w:rPr>
          <w:b w:val="1"/>
          <w:sz w:val="24"/>
          <w:szCs w:val="24"/>
        </w:rPr>
      </w:pPr>
      <w:r w:rsidDel="00000000" w:rsidR="00000000" w:rsidRPr="00000000">
        <w:rPr>
          <w:b w:val="1"/>
          <w:sz w:val="24"/>
          <w:szCs w:val="24"/>
          <w:rtl w:val="0"/>
        </w:rPr>
        <w:t xml:space="preserve">Ripartizione dell’incentivo in caso di successione di più addetti </w:t>
      </w:r>
    </w:p>
    <w:p w:rsidR="00000000" w:rsidDel="00000000" w:rsidP="00000000" w:rsidRDefault="00000000" w:rsidRPr="00000000" w14:paraId="00000082">
      <w:pPr>
        <w:spacing w:after="0" w:lineRule="auto"/>
        <w:jc w:val="center"/>
        <w:rPr>
          <w:b w:val="1"/>
          <w:sz w:val="24"/>
          <w:szCs w:val="24"/>
        </w:rPr>
      </w:pPr>
      <w:r w:rsidDel="00000000" w:rsidR="00000000" w:rsidRPr="00000000">
        <w:rPr>
          <w:b w:val="1"/>
          <w:sz w:val="24"/>
          <w:szCs w:val="24"/>
          <w:rtl w:val="0"/>
        </w:rPr>
        <w:t xml:space="preserve">nello svolgimento di una specifica attività</w:t>
      </w:r>
    </w:p>
    <w:p w:rsidR="00000000" w:rsidDel="00000000" w:rsidP="00000000" w:rsidRDefault="00000000" w:rsidRPr="00000000" w14:paraId="00000083">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caso di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successione di più addetti nello svolgimento di una attività incentivabile, i relativi compensi vengono corrisposti in proporzione all’attività effettivamente svolta. </w:t>
      </w:r>
    </w:p>
    <w:p w:rsidR="00000000" w:rsidDel="00000000" w:rsidP="00000000" w:rsidRDefault="00000000" w:rsidRPr="00000000" w14:paraId="0000008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86">
      <w:pPr>
        <w:jc w:val="both"/>
        <w:rPr>
          <w:b w:val="1"/>
          <w:sz w:val="24"/>
          <w:szCs w:val="24"/>
        </w:rPr>
      </w:pPr>
      <w:r w:rsidDel="00000000" w:rsidR="00000000" w:rsidRPr="00000000">
        <w:rPr>
          <w:rtl w:val="0"/>
        </w:rPr>
      </w:r>
    </w:p>
    <w:p w:rsidR="00000000" w:rsidDel="00000000" w:rsidP="00000000" w:rsidRDefault="00000000" w:rsidRPr="00000000" w14:paraId="0000008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both"/>
        <w:rPr>
          <w:sz w:val="24"/>
          <w:szCs w:val="24"/>
        </w:rPr>
      </w:pPr>
      <w:r w:rsidDel="00000000" w:rsidR="00000000" w:rsidRPr="00000000">
        <w:rPr>
          <w:rtl w:val="0"/>
        </w:rPr>
      </w:r>
    </w:p>
    <w:p w:rsidR="00000000" w:rsidDel="00000000" w:rsidP="00000000" w:rsidRDefault="00000000" w:rsidRPr="00000000" w14:paraId="00000088">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b w:val="1"/>
          <w:sz w:val="24"/>
          <w:szCs w:val="24"/>
        </w:rPr>
      </w:pPr>
      <w:r w:rsidDel="00000000" w:rsidR="00000000" w:rsidRPr="00000000">
        <w:rPr>
          <w:b w:val="1"/>
          <w:sz w:val="24"/>
          <w:szCs w:val="24"/>
          <w:rtl w:val="0"/>
        </w:rPr>
        <w:t xml:space="preserve">Art. 14</w:t>
      </w:r>
    </w:p>
    <w:p w:rsidR="00000000" w:rsidDel="00000000" w:rsidP="00000000" w:rsidRDefault="00000000" w:rsidRPr="00000000" w14:paraId="00000089">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b w:val="1"/>
          <w:sz w:val="24"/>
          <w:szCs w:val="24"/>
        </w:rPr>
      </w:pPr>
      <w:r w:rsidDel="00000000" w:rsidR="00000000" w:rsidRPr="00000000">
        <w:rPr>
          <w:b w:val="1"/>
          <w:sz w:val="24"/>
          <w:szCs w:val="24"/>
          <w:rtl w:val="0"/>
        </w:rPr>
        <w:t xml:space="preserve">Soggetto che deve proporre la liquidazione dell’incentivo</w:t>
      </w:r>
    </w:p>
    <w:p w:rsidR="00000000" w:rsidDel="00000000" w:rsidP="00000000" w:rsidRDefault="00000000" w:rsidRPr="00000000" w14:paraId="0000008A">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b w:val="1"/>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proposta di liquidazione è formulata al direttore generale dal RUP.</w:t>
      </w:r>
    </w:p>
    <w:p w:rsidR="00000000" w:rsidDel="00000000" w:rsidP="00000000" w:rsidRDefault="00000000" w:rsidRPr="00000000" w14:paraId="0000008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sz w:val="24"/>
          <w:szCs w:val="24"/>
        </w:rPr>
      </w:pPr>
      <w:r w:rsidDel="00000000" w:rsidR="00000000" w:rsidRPr="00000000">
        <w:rPr>
          <w:rtl w:val="0"/>
        </w:rPr>
      </w:r>
    </w:p>
    <w:p w:rsidR="00000000" w:rsidDel="00000000" w:rsidP="00000000" w:rsidRDefault="00000000" w:rsidRPr="00000000" w14:paraId="0000008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rPr>
          <w:sz w:val="24"/>
          <w:szCs w:val="24"/>
        </w:rPr>
      </w:pPr>
      <w:r w:rsidDel="00000000" w:rsidR="00000000" w:rsidRPr="00000000">
        <w:rPr>
          <w:rtl w:val="0"/>
        </w:rPr>
      </w:r>
    </w:p>
    <w:p w:rsidR="00000000" w:rsidDel="00000000" w:rsidP="00000000" w:rsidRDefault="00000000" w:rsidRPr="00000000" w14:paraId="0000008E">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Rule="auto"/>
        <w:jc w:val="center"/>
        <w:rPr>
          <w:b w:val="1"/>
          <w:sz w:val="24"/>
          <w:szCs w:val="24"/>
        </w:rPr>
      </w:pPr>
      <w:r w:rsidDel="00000000" w:rsidR="00000000" w:rsidRPr="00000000">
        <w:rPr>
          <w:b w:val="1"/>
          <w:sz w:val="24"/>
          <w:szCs w:val="24"/>
          <w:rtl w:val="0"/>
        </w:rPr>
        <w:t xml:space="preserve">Art. 16</w:t>
      </w:r>
    </w:p>
    <w:p w:rsidR="00000000" w:rsidDel="00000000" w:rsidP="00000000" w:rsidRDefault="00000000" w:rsidRPr="00000000" w14:paraId="0000008F">
      <w:pPr>
        <w:spacing w:after="0" w:lineRule="auto"/>
        <w:jc w:val="center"/>
        <w:rPr>
          <w:b w:val="1"/>
          <w:sz w:val="24"/>
          <w:szCs w:val="24"/>
        </w:rPr>
      </w:pPr>
      <w:r w:rsidDel="00000000" w:rsidR="00000000" w:rsidRPr="00000000">
        <w:rPr>
          <w:b w:val="1"/>
          <w:sz w:val="24"/>
          <w:szCs w:val="24"/>
          <w:rtl w:val="0"/>
        </w:rPr>
        <w:t xml:space="preserve">Appalti finanziati con fondi europei, assoggettati a contabilità speciale</w:t>
      </w:r>
    </w:p>
    <w:p w:rsidR="00000000" w:rsidDel="00000000" w:rsidP="00000000" w:rsidRDefault="00000000" w:rsidRPr="00000000" w14:paraId="00000090">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 caso di appalti finanziati con fondi europei, assoggettati a contabilità speciale o da altri finanziamenti a destinazione vincolata, non si procede all’accantonamento della quota del 20% per l’acquisto di beni e tecnologie.</w:t>
      </w:r>
    </w:p>
    <w:p w:rsidR="00000000" w:rsidDel="00000000" w:rsidP="00000000" w:rsidRDefault="00000000" w:rsidRPr="00000000" w14:paraId="00000092">
      <w:pPr>
        <w:spacing w:after="0" w:lineRule="auto"/>
        <w:jc w:val="both"/>
        <w:rPr>
          <w:sz w:val="24"/>
          <w:szCs w:val="24"/>
        </w:rPr>
      </w:pPr>
      <w:r w:rsidDel="00000000" w:rsidR="00000000" w:rsidRPr="00000000">
        <w:rPr>
          <w:rtl w:val="0"/>
        </w:rPr>
      </w:r>
    </w:p>
    <w:p w:rsidR="00000000" w:rsidDel="00000000" w:rsidP="00000000" w:rsidRDefault="00000000" w:rsidRPr="00000000" w14:paraId="00000093">
      <w:pPr>
        <w:spacing w:after="0" w:lineRule="auto"/>
        <w:jc w:val="both"/>
        <w:rPr>
          <w:sz w:val="24"/>
          <w:szCs w:val="24"/>
        </w:rPr>
      </w:pPr>
      <w:r w:rsidDel="00000000" w:rsidR="00000000" w:rsidRPr="00000000">
        <w:rPr>
          <w:rtl w:val="0"/>
        </w:rPr>
      </w:r>
    </w:p>
    <w:sectPr>
      <w:footerReference r:id="rId7" w:type="default"/>
      <w:footerReference r:id="rId8" w:type="even"/>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orsiv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